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31"/>
        <w:gridCol w:w="1804"/>
        <w:gridCol w:w="1705"/>
        <w:gridCol w:w="1768"/>
        <w:gridCol w:w="1754"/>
      </w:tblGrid>
      <w:tr w:rsidRPr="00826B49" w:rsidR="00826B49" w:rsidTr="0290F1CF" w14:paraId="56D40C9D" w14:textId="77777777">
        <w:tc>
          <w:tcPr>
            <w:tcW w:w="1812" w:type="dxa"/>
            <w:tcMar/>
          </w:tcPr>
          <w:p w:rsidRPr="00826B49" w:rsidR="00826B49" w:rsidRDefault="00826B49" w14:paraId="46284996" w14:textId="4B1B5702">
            <w:pPr>
              <w:rPr>
                <w:b w:val="1"/>
                <w:bCs w:val="1"/>
              </w:rPr>
            </w:pPr>
            <w:r w:rsidRPr="0290F1CF" w:rsidR="0290F1CF">
              <w:rPr>
                <w:b w:val="1"/>
                <w:bCs w:val="1"/>
              </w:rPr>
              <w:t>Document</w:t>
            </w:r>
          </w:p>
        </w:tc>
        <w:tc>
          <w:tcPr>
            <w:tcW w:w="1812" w:type="dxa"/>
            <w:tcMar/>
          </w:tcPr>
          <w:p w:rsidRPr="00826B49" w:rsidR="00826B49" w:rsidP="0290F1CF" w:rsidRDefault="00826B49" w14:paraId="129BD224" w14:textId="58A026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290F1CF" w:rsidR="0290F1CF">
              <w:rPr>
                <w:b w:val="1"/>
                <w:bCs w:val="1"/>
              </w:rPr>
              <w:t>Qui ?</w:t>
            </w:r>
          </w:p>
        </w:tc>
        <w:tc>
          <w:tcPr>
            <w:tcW w:w="1812" w:type="dxa"/>
            <w:tcMar/>
          </w:tcPr>
          <w:p w:rsidRPr="00826B49" w:rsidR="00826B49" w:rsidRDefault="00826B49" w14:paraId="7ED96FF6" w14:textId="4205AE47">
            <w:pPr>
              <w:rPr>
                <w:b/>
                <w:bCs/>
              </w:rPr>
            </w:pPr>
            <w:r>
              <w:rPr>
                <w:b/>
                <w:bCs/>
              </w:rPr>
              <w:t>La France a-t-elle perdu la guerre ?</w:t>
            </w:r>
          </w:p>
        </w:tc>
        <w:tc>
          <w:tcPr>
            <w:tcW w:w="1813" w:type="dxa"/>
            <w:tcMar/>
          </w:tcPr>
          <w:p w:rsidRPr="00826B49" w:rsidR="00826B49" w:rsidRDefault="00826B49" w14:paraId="76A93C1B" w14:textId="1D6E39A8">
            <w:pPr>
              <w:rPr>
                <w:b/>
                <w:bCs/>
              </w:rPr>
            </w:pPr>
            <w:r>
              <w:rPr>
                <w:b/>
                <w:bCs/>
              </w:rPr>
              <w:t>Qui est responsable de la victoire (provisoire ?) de l’Allemagne ?</w:t>
            </w:r>
          </w:p>
        </w:tc>
        <w:tc>
          <w:tcPr>
            <w:tcW w:w="1813" w:type="dxa"/>
            <w:tcMar/>
          </w:tcPr>
          <w:p w:rsidRPr="00826B49" w:rsidR="00826B49" w:rsidP="0290F1CF" w:rsidRDefault="00826B49" w14:paraId="5573CEDE" w14:textId="02494B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290F1CF" w:rsidR="0290F1CF">
              <w:rPr>
                <w:b w:val="1"/>
                <w:bCs w:val="1"/>
              </w:rPr>
              <w:t>Que faire ?</w:t>
            </w:r>
          </w:p>
        </w:tc>
      </w:tr>
      <w:tr w:rsidR="00826B49" w:rsidTr="0290F1CF" w14:paraId="4E362A30" w14:textId="77777777">
        <w:tc>
          <w:tcPr>
            <w:tcW w:w="1812" w:type="dxa"/>
            <w:tcMar/>
          </w:tcPr>
          <w:p w:rsidR="00826B49" w:rsidRDefault="00494885" w14:paraId="1FF4C771" w14:textId="0D22F1FD">
            <w:r>
              <w:t>Appel du 18 juin</w:t>
            </w:r>
          </w:p>
        </w:tc>
        <w:tc>
          <w:tcPr>
            <w:tcW w:w="1812" w:type="dxa"/>
            <w:tcMar/>
          </w:tcPr>
          <w:p w:rsidR="00826B49" w:rsidRDefault="00EF757F" w14:paraId="0C93FCD1" w14:textId="17E0312F">
            <w:r w:rsidR="0290F1CF">
              <w:rPr/>
              <w:t>Charles de Gaulle</w:t>
            </w:r>
          </w:p>
        </w:tc>
        <w:tc>
          <w:tcPr>
            <w:tcW w:w="1812" w:type="dxa"/>
            <w:tcMar/>
          </w:tcPr>
          <w:p w:rsidR="00826B49" w:rsidRDefault="00194DFF" w14:paraId="24568B56" w14:textId="194F5296">
            <w:r w:rsidR="0290F1CF">
              <w:rPr/>
              <w:t xml:space="preserve">La guerre continue (en particulier dans les colonies) ; appel à la résistance. </w:t>
            </w:r>
          </w:p>
        </w:tc>
        <w:tc>
          <w:tcPr>
            <w:tcW w:w="1813" w:type="dxa"/>
            <w:tcMar/>
          </w:tcPr>
          <w:p w:rsidR="00826B49" w:rsidRDefault="00A44F6D" w14:paraId="17EDF521" w14:textId="77777777">
            <w:r>
              <w:t>La supériorité numérique</w:t>
            </w:r>
            <w:r w:rsidR="00F74561">
              <w:t>, technologique et stratégique de l’adversaire.</w:t>
            </w:r>
          </w:p>
          <w:p w:rsidR="00F74561" w:rsidRDefault="00F74561" w14:paraId="272C1891" w14:textId="3188F766">
            <w:r>
              <w:t>L’inca</w:t>
            </w:r>
            <w:r w:rsidR="00BA1275">
              <w:t>pacité des généraux français à penser cette guerre.</w:t>
            </w:r>
          </w:p>
        </w:tc>
        <w:tc>
          <w:tcPr>
            <w:tcW w:w="1813" w:type="dxa"/>
            <w:tcMar/>
          </w:tcPr>
          <w:p w:rsidR="00826B49" w:rsidRDefault="005F78B9" w14:paraId="61B74099" w14:textId="27B6DB64">
            <w:r w:rsidR="0290F1CF">
              <w:rPr/>
              <w:t>Rejoindre de Gaulle pour continuer la guerre</w:t>
            </w:r>
          </w:p>
        </w:tc>
      </w:tr>
      <w:tr w:rsidR="00826B49" w:rsidTr="0290F1CF" w14:paraId="35D9C99D" w14:textId="77777777">
        <w:tc>
          <w:tcPr>
            <w:tcW w:w="1812" w:type="dxa"/>
            <w:tcMar/>
          </w:tcPr>
          <w:p w:rsidR="00826B49" w:rsidP="0290F1CF" w:rsidRDefault="00305921" w14:paraId="0EFD4FE7" w14:textId="3E835CFF">
            <w:pPr>
              <w:pStyle w:val="Normal"/>
            </w:pPr>
            <w:r w:rsidR="0290F1CF">
              <w:rPr/>
              <w:t>L'armistice justifié dans un quotidien</w:t>
            </w:r>
          </w:p>
        </w:tc>
        <w:tc>
          <w:tcPr>
            <w:tcW w:w="1812" w:type="dxa"/>
            <w:tcMar/>
          </w:tcPr>
          <w:p w:rsidR="00826B49" w:rsidRDefault="00EF757F" w14:paraId="26EF09F1" w14:textId="3479E1A3">
            <w:r w:rsidR="0290F1CF">
              <w:rPr/>
              <w:t xml:space="preserve">Rédacteur en chef pour </w:t>
            </w:r>
            <w:r w:rsidR="0290F1CF">
              <w:rPr/>
              <w:t>l’éditorial, journaliste</w:t>
            </w:r>
            <w:r w:rsidR="0290F1CF">
              <w:rPr/>
              <w:t xml:space="preserve">. </w:t>
            </w:r>
          </w:p>
        </w:tc>
        <w:tc>
          <w:tcPr>
            <w:tcW w:w="1812" w:type="dxa"/>
            <w:tcMar/>
          </w:tcPr>
          <w:p w:rsidR="00826B49" w:rsidRDefault="00194DFF" w14:paraId="3B5D1ECB" w14:textId="517B8ED6">
            <w:r>
              <w:t xml:space="preserve">La guerre est perdue. </w:t>
            </w:r>
          </w:p>
        </w:tc>
        <w:tc>
          <w:tcPr>
            <w:tcW w:w="1813" w:type="dxa"/>
            <w:tcMar/>
          </w:tcPr>
          <w:p w:rsidR="00826B49" w:rsidRDefault="00876ADD" w14:paraId="7E732D15" w14:textId="63ACEB2A">
            <w:r w:rsidR="0290F1CF">
              <w:rPr/>
              <w:t>La IIIᵉ République</w:t>
            </w:r>
          </w:p>
        </w:tc>
        <w:tc>
          <w:tcPr>
            <w:tcW w:w="1813" w:type="dxa"/>
            <w:tcMar/>
          </w:tcPr>
          <w:p w:rsidR="00826B49" w:rsidRDefault="005F78B9" w14:paraId="23956894" w14:textId="32CD8E28">
            <w:r>
              <w:t>Faire la paix</w:t>
            </w:r>
          </w:p>
        </w:tc>
      </w:tr>
      <w:tr w:rsidR="00826B49" w:rsidTr="0290F1CF" w14:paraId="531D824D" w14:textId="77777777">
        <w:tc>
          <w:tcPr>
            <w:tcW w:w="1812" w:type="dxa"/>
            <w:tcMar/>
          </w:tcPr>
          <w:p w:rsidR="00305921" w:rsidP="0290F1CF" w:rsidRDefault="00305921" w14:paraId="7F184953" w14:textId="45A6C10E">
            <w:pPr>
              <w:pStyle w:val="Normal"/>
            </w:pPr>
            <w:r w:rsidR="0290F1CF">
              <w:rPr/>
              <w:t>Affiche de propagande allemande</w:t>
            </w:r>
          </w:p>
        </w:tc>
        <w:tc>
          <w:tcPr>
            <w:tcW w:w="1812" w:type="dxa"/>
            <w:tcMar/>
          </w:tcPr>
          <w:p w:rsidR="00826B49" w:rsidRDefault="0012345C" w14:paraId="61C1E551" w14:textId="4074520D">
            <w:r>
              <w:t>Illustrateur autrichien travaillant pour les services de la propagande de l’armée allemande</w:t>
            </w:r>
          </w:p>
        </w:tc>
        <w:tc>
          <w:tcPr>
            <w:tcW w:w="1812" w:type="dxa"/>
            <w:tcMar/>
          </w:tcPr>
          <w:p w:rsidR="00826B49" w:rsidRDefault="00194DFF" w14:paraId="6687517B" w14:textId="1C321BA1">
            <w:r>
              <w:t xml:space="preserve">La France est vaincue. </w:t>
            </w:r>
          </w:p>
        </w:tc>
        <w:tc>
          <w:tcPr>
            <w:tcW w:w="1813" w:type="dxa"/>
            <w:tcMar/>
          </w:tcPr>
          <w:p w:rsidR="00826B49" w:rsidRDefault="00876ADD" w14:paraId="704DBB97" w14:textId="3FD90C1B">
            <w:r w:rsidR="0290F1CF">
              <w:rPr/>
              <w:t>Le Royaume-Uni ou les alliés de la France</w:t>
            </w:r>
          </w:p>
        </w:tc>
        <w:tc>
          <w:tcPr>
            <w:tcW w:w="1813" w:type="dxa"/>
            <w:tcMar/>
          </w:tcPr>
          <w:p w:rsidR="00826B49" w:rsidRDefault="00A150E0" w14:paraId="71227CE0" w14:textId="1E4895E0">
            <w:r w:rsidR="0290F1CF">
              <w:rPr/>
              <w:t xml:space="preserve">Accepter la paix et blâmer le Royaume-Uni </w:t>
            </w:r>
          </w:p>
        </w:tc>
      </w:tr>
      <w:tr w:rsidR="00826B49" w:rsidTr="0290F1CF" w14:paraId="6E88B661" w14:textId="77777777">
        <w:tc>
          <w:tcPr>
            <w:tcW w:w="1812" w:type="dxa"/>
            <w:tcMar/>
          </w:tcPr>
          <w:p w:rsidR="00826B49" w:rsidP="0290F1CF" w:rsidRDefault="00305921" w14:paraId="2E1CB797" w14:textId="183592ED">
            <w:pPr>
              <w:pStyle w:val="Normal"/>
            </w:pPr>
            <w:r w:rsidR="0290F1CF">
              <w:rPr/>
              <w:t>Un historien analyse la défaite de 1940</w:t>
            </w:r>
          </w:p>
        </w:tc>
        <w:tc>
          <w:tcPr>
            <w:tcW w:w="1812" w:type="dxa"/>
            <w:tcMar/>
          </w:tcPr>
          <w:p w:rsidR="00826B49" w:rsidRDefault="0012345C" w14:paraId="1EBBD9C0" w14:textId="5D899AFB">
            <w:r w:rsidR="0290F1CF">
              <w:rPr/>
              <w:t>Historien</w:t>
            </w:r>
          </w:p>
        </w:tc>
        <w:tc>
          <w:tcPr>
            <w:tcW w:w="1812" w:type="dxa"/>
            <w:tcMar/>
          </w:tcPr>
          <w:p w:rsidR="00826B49" w:rsidRDefault="00194DFF" w14:paraId="279D4F94" w14:textId="52110EF1">
            <w:r>
              <w:t>La France a perdu la bataille, mais pas la guerre.</w:t>
            </w:r>
          </w:p>
        </w:tc>
        <w:tc>
          <w:tcPr>
            <w:tcW w:w="1813" w:type="dxa"/>
            <w:tcMar/>
          </w:tcPr>
          <w:p w:rsidR="00826B49" w:rsidRDefault="00876ADD" w14:paraId="5902966A" w14:textId="3B0E1311">
            <w:r w:rsidR="0290F1CF">
              <w:rPr/>
              <w:t>L’État-Major ; les généraux ; l’ancienne génération de 14-18</w:t>
            </w:r>
          </w:p>
        </w:tc>
        <w:tc>
          <w:tcPr>
            <w:tcW w:w="1813" w:type="dxa"/>
            <w:tcMar/>
          </w:tcPr>
          <w:p w:rsidR="00826B49" w:rsidRDefault="00A150E0" w14:paraId="53513C72" w14:textId="45C97102">
            <w:r w:rsidR="0290F1CF">
              <w:rPr/>
              <w:t>Dans le futur, prévoir la résistance ou un soulèvement</w:t>
            </w:r>
          </w:p>
        </w:tc>
      </w:tr>
      <w:tr w:rsidR="00826B49" w:rsidTr="0290F1CF" w14:paraId="6A732EEC" w14:textId="77777777">
        <w:tc>
          <w:tcPr>
            <w:tcW w:w="1812" w:type="dxa"/>
            <w:tcMar/>
          </w:tcPr>
          <w:p w:rsidR="00826B49" w:rsidP="0290F1CF" w:rsidRDefault="00EF757F" w14:paraId="0DC9A6B2" w14:textId="6921C0F7">
            <w:pPr>
              <w:rPr>
                <w:rFonts w:ascii="Aptos" w:hAnsi="Aptos" w:eastAsia="Aptos" w:cs="Aptos"/>
                <w:noProof w:val="0"/>
                <w:color w:val="131313"/>
                <w:sz w:val="22"/>
                <w:szCs w:val="22"/>
                <w:lang w:val="fr-FR"/>
              </w:rPr>
            </w:pPr>
            <w:r w:rsidR="0290F1CF">
              <w:rPr/>
              <w:t xml:space="preserve">Vidéo Denise Domenach </w:t>
            </w:r>
            <w:r w:rsidRPr="0290F1CF" w:rsidR="0290F1CF">
              <w:rPr>
                <w:rFonts w:ascii="Aptos" w:hAnsi="Aptos" w:eastAsia="Aptos" w:cs="Aptos"/>
                <w:noProof w:val="0"/>
                <w:color w:val="131313"/>
                <w:sz w:val="22"/>
                <w:szCs w:val="22"/>
                <w:lang w:val="fr-FR"/>
              </w:rPr>
              <w:t>Lallich</w:t>
            </w:r>
          </w:p>
        </w:tc>
        <w:tc>
          <w:tcPr>
            <w:tcW w:w="1812" w:type="dxa"/>
            <w:tcMar/>
          </w:tcPr>
          <w:p w:rsidR="00826B49" w:rsidRDefault="00DC7EC9" w14:paraId="0C0CAD18" w14:textId="19C55F16">
            <w:r w:rsidR="0290F1CF">
              <w:rPr/>
              <w:t>Élève ; famille critique du régime</w:t>
            </w:r>
          </w:p>
        </w:tc>
        <w:tc>
          <w:tcPr>
            <w:tcW w:w="1812" w:type="dxa"/>
            <w:tcMar/>
          </w:tcPr>
          <w:p w:rsidR="00826B49" w:rsidRDefault="00194DFF" w14:paraId="5D592E8F" w14:textId="7DD95F46">
            <w:r>
              <w:t>La France n’a pas perdu la guerre.</w:t>
            </w:r>
          </w:p>
        </w:tc>
        <w:tc>
          <w:tcPr>
            <w:tcW w:w="1813" w:type="dxa"/>
            <w:tcMar/>
          </w:tcPr>
          <w:p w:rsidR="00826B49" w:rsidRDefault="00D9564E" w14:paraId="415C10AC" w14:textId="5D92A1CD">
            <w:r w:rsidR="0290F1CF">
              <w:rPr/>
              <w:t>Pétain</w:t>
            </w:r>
          </w:p>
        </w:tc>
        <w:tc>
          <w:tcPr>
            <w:tcW w:w="1813" w:type="dxa"/>
            <w:tcMar/>
          </w:tcPr>
          <w:p w:rsidR="00826B49" w:rsidRDefault="00356439" w14:paraId="03F85F78" w14:textId="24F925C1">
            <w:r>
              <w:t xml:space="preserve">Résister </w:t>
            </w:r>
          </w:p>
        </w:tc>
      </w:tr>
      <w:tr w:rsidR="00826B49" w:rsidTr="0290F1CF" w14:paraId="53B6E563" w14:textId="77777777">
        <w:tc>
          <w:tcPr>
            <w:tcW w:w="1812" w:type="dxa"/>
            <w:tcMar/>
          </w:tcPr>
          <w:p w:rsidR="00826B49" w:rsidRDefault="00EF757F" w14:paraId="5FDBF3A4" w14:textId="6A0D444B">
            <w:r w:rsidR="0290F1CF">
              <w:rPr/>
              <w:t xml:space="preserve">Vidéo Jean </w:t>
            </w:r>
            <w:r w:rsidR="0290F1CF">
              <w:rPr/>
              <w:t>Nallit</w:t>
            </w:r>
          </w:p>
        </w:tc>
        <w:tc>
          <w:tcPr>
            <w:tcW w:w="1812" w:type="dxa"/>
            <w:tcMar/>
          </w:tcPr>
          <w:p w:rsidR="00826B49" w:rsidRDefault="009A1188" w14:paraId="141EC79A" w14:textId="4580592C">
            <w:r>
              <w:t xml:space="preserve">Jeune homme ; expérience militaire. </w:t>
            </w:r>
          </w:p>
        </w:tc>
        <w:tc>
          <w:tcPr>
            <w:tcW w:w="1812" w:type="dxa"/>
            <w:tcMar/>
          </w:tcPr>
          <w:p w:rsidR="00826B49" w:rsidRDefault="00194DFF" w14:paraId="7BDC1D6F" w14:textId="6D103AC1">
            <w:r>
              <w:t>La France n’a pas perdu la guerre.</w:t>
            </w:r>
          </w:p>
        </w:tc>
        <w:tc>
          <w:tcPr>
            <w:tcW w:w="1813" w:type="dxa"/>
            <w:tcMar/>
          </w:tcPr>
          <w:p w:rsidR="00826B49" w:rsidRDefault="00E354FC" w14:paraId="466217E5" w14:textId="33D664F3">
            <w:r w:rsidR="0290F1CF">
              <w:rPr/>
              <w:t>Pétain et le régime de Vichy</w:t>
            </w:r>
          </w:p>
        </w:tc>
        <w:tc>
          <w:tcPr>
            <w:tcW w:w="1813" w:type="dxa"/>
            <w:tcMar/>
          </w:tcPr>
          <w:p w:rsidR="00826B49" w:rsidRDefault="00356439" w14:paraId="3C3B8DAC" w14:textId="07C3D41B">
            <w:r>
              <w:t>Résister</w:t>
            </w:r>
          </w:p>
        </w:tc>
      </w:tr>
      <w:tr w:rsidR="00826B49" w:rsidTr="0290F1CF" w14:paraId="5D6D8A38" w14:textId="77777777">
        <w:tc>
          <w:tcPr>
            <w:tcW w:w="1812" w:type="dxa"/>
            <w:tcMar/>
          </w:tcPr>
          <w:p w:rsidR="00826B49" w:rsidRDefault="00EF757F" w14:paraId="2A8AE201" w14:textId="0160F0AA">
            <w:r w:rsidR="0290F1CF">
              <w:rPr/>
              <w:t>Vidéo Jean Wertheimer</w:t>
            </w:r>
          </w:p>
        </w:tc>
        <w:tc>
          <w:tcPr>
            <w:tcW w:w="1812" w:type="dxa"/>
            <w:tcMar/>
          </w:tcPr>
          <w:p w:rsidR="00826B49" w:rsidRDefault="005F36C3" w14:paraId="2D0D0E71" w14:textId="56E9710C">
            <w:r>
              <w:t>Origine juive</w:t>
            </w:r>
            <w:r w:rsidR="009A1188">
              <w:t xml:space="preserve"> ; </w:t>
            </w:r>
            <w:r>
              <w:t xml:space="preserve">converti au protestantisme ; </w:t>
            </w:r>
            <w:r w:rsidR="0061187C">
              <w:t xml:space="preserve">importance de </w:t>
            </w:r>
            <w:r w:rsidR="0061187C">
              <w:lastRenderedPageBreak/>
              <w:t xml:space="preserve">la culture dans l’éducation. </w:t>
            </w:r>
          </w:p>
        </w:tc>
        <w:tc>
          <w:tcPr>
            <w:tcW w:w="1812" w:type="dxa"/>
            <w:tcMar/>
          </w:tcPr>
          <w:p w:rsidR="00826B49" w:rsidRDefault="00826B49" w14:paraId="68EFC2DD" w14:textId="35BB40AE">
            <w:r w:rsidR="0290F1CF">
              <w:rPr/>
              <w:t>/</w:t>
            </w:r>
          </w:p>
        </w:tc>
        <w:tc>
          <w:tcPr>
            <w:tcW w:w="1813" w:type="dxa"/>
            <w:tcMar/>
          </w:tcPr>
          <w:p w:rsidR="00826B49" w:rsidRDefault="00E354FC" w14:paraId="511392DE" w14:textId="26FDA3E9">
            <w:r>
              <w:t>/</w:t>
            </w:r>
          </w:p>
        </w:tc>
        <w:tc>
          <w:tcPr>
            <w:tcW w:w="1813" w:type="dxa"/>
            <w:tcMar/>
          </w:tcPr>
          <w:p w:rsidR="00826B49" w:rsidRDefault="00356439" w14:paraId="76F62EC7" w14:textId="514BABB1">
            <w:r>
              <w:t>Résister</w:t>
            </w:r>
          </w:p>
        </w:tc>
      </w:tr>
      <w:tr w:rsidR="00826B49" w:rsidTr="0290F1CF" w14:paraId="08115604" w14:textId="77777777">
        <w:tc>
          <w:tcPr>
            <w:tcW w:w="1812" w:type="dxa"/>
            <w:tcMar/>
          </w:tcPr>
          <w:p w:rsidR="00826B49" w:rsidRDefault="00EF757F" w14:paraId="4E5C5EFC" w14:textId="2A7B8A84">
            <w:r w:rsidR="0290F1CF">
              <w:rPr/>
              <w:t>Vidéo Lucie Aubrac</w:t>
            </w:r>
          </w:p>
        </w:tc>
        <w:tc>
          <w:tcPr>
            <w:tcW w:w="1812" w:type="dxa"/>
            <w:tcMar/>
          </w:tcPr>
          <w:p w:rsidR="00826B49" w:rsidRDefault="0061187C" w14:paraId="48B4BED1" w14:textId="6F9531EC">
            <w:r>
              <w:t xml:space="preserve">Professeure d’histoire ; mariée à un ingénieur juif. </w:t>
            </w:r>
          </w:p>
        </w:tc>
        <w:tc>
          <w:tcPr>
            <w:tcW w:w="1812" w:type="dxa"/>
            <w:tcMar/>
          </w:tcPr>
          <w:p w:rsidR="00826B49" w:rsidRDefault="00A44F6D" w14:paraId="59092686" w14:textId="7A646892">
            <w:r w:rsidR="0290F1CF">
              <w:rPr/>
              <w:t>La France a perdu la bataille, mais pas la guerre.</w:t>
            </w:r>
          </w:p>
        </w:tc>
        <w:tc>
          <w:tcPr>
            <w:tcW w:w="1813" w:type="dxa"/>
            <w:tcMar/>
          </w:tcPr>
          <w:p w:rsidR="00826B49" w:rsidRDefault="00D9564E" w14:paraId="4F17D146" w14:textId="09EDCC95">
            <w:r>
              <w:t>Pétain</w:t>
            </w:r>
          </w:p>
        </w:tc>
        <w:tc>
          <w:tcPr>
            <w:tcW w:w="1813" w:type="dxa"/>
            <w:tcMar/>
          </w:tcPr>
          <w:p w:rsidR="00826B49" w:rsidRDefault="00356439" w14:paraId="5FC4482A" w14:textId="6446EB1C">
            <w:r>
              <w:t>Résister</w:t>
            </w:r>
          </w:p>
        </w:tc>
      </w:tr>
    </w:tbl>
    <w:p w:rsidR="00826B49" w:rsidRDefault="00826B49" w14:paraId="627A63DE" w14:textId="77777777"/>
    <w:p w:rsidR="00747A84" w:rsidP="00747A84" w:rsidRDefault="00681484" w14:paraId="20D6A410" w14:noSpellErr="1" w14:textId="70C297A1"/>
    <w:p w:rsidR="00747A84" w:rsidP="00747A84" w:rsidRDefault="00747A84" w14:paraId="4A1293FA" w14:textId="77777777"/>
    <w:p w:rsidR="00747A84" w:rsidP="00747A84" w:rsidRDefault="00747A84" w14:paraId="7EBD5355" w14:textId="77777777"/>
    <w:p w:rsidR="003B2955" w:rsidP="00747A84" w:rsidRDefault="003B2955" w14:paraId="3110EBAB" w14:textId="77777777"/>
    <w:p w:rsidR="003B2955" w:rsidP="00747A84" w:rsidRDefault="003B2955" w14:paraId="051D3BBC" w14:textId="77777777"/>
    <w:sectPr w:rsidR="003B29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097"/>
    <w:multiLevelType w:val="hybridMultilevel"/>
    <w:tmpl w:val="CDA015CC"/>
    <w:lvl w:ilvl="0" w:tplc="8CF2B7E2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5930B8"/>
    <w:multiLevelType w:val="hybridMultilevel"/>
    <w:tmpl w:val="EDF2F08E"/>
    <w:lvl w:ilvl="0" w:tplc="2C60E54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1B7CFC"/>
    <w:multiLevelType w:val="hybridMultilevel"/>
    <w:tmpl w:val="EB549506"/>
    <w:lvl w:ilvl="0" w:tplc="0136D564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492B28"/>
    <w:multiLevelType w:val="hybridMultilevel"/>
    <w:tmpl w:val="02CA5F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46C7B"/>
    <w:multiLevelType w:val="hybridMultilevel"/>
    <w:tmpl w:val="AF5251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08557">
    <w:abstractNumId w:val="2"/>
  </w:num>
  <w:num w:numId="2" w16cid:durableId="1692216301">
    <w:abstractNumId w:val="4"/>
  </w:num>
  <w:num w:numId="3" w16cid:durableId="1691954935">
    <w:abstractNumId w:val="3"/>
  </w:num>
  <w:num w:numId="4" w16cid:durableId="258802185">
    <w:abstractNumId w:val="1"/>
  </w:num>
  <w:num w:numId="5" w16cid:durableId="174845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B"/>
    <w:rsid w:val="00001562"/>
    <w:rsid w:val="000155CE"/>
    <w:rsid w:val="000C4815"/>
    <w:rsid w:val="0012345C"/>
    <w:rsid w:val="00194DFF"/>
    <w:rsid w:val="001C045F"/>
    <w:rsid w:val="0022478A"/>
    <w:rsid w:val="00243CF2"/>
    <w:rsid w:val="00267609"/>
    <w:rsid w:val="002F5658"/>
    <w:rsid w:val="00305921"/>
    <w:rsid w:val="00336603"/>
    <w:rsid w:val="00356439"/>
    <w:rsid w:val="003B2955"/>
    <w:rsid w:val="003D6014"/>
    <w:rsid w:val="00475DD3"/>
    <w:rsid w:val="00494885"/>
    <w:rsid w:val="004C1FD9"/>
    <w:rsid w:val="00540AF3"/>
    <w:rsid w:val="005462B4"/>
    <w:rsid w:val="0058070A"/>
    <w:rsid w:val="005F36C3"/>
    <w:rsid w:val="005F78B9"/>
    <w:rsid w:val="0061187C"/>
    <w:rsid w:val="00656FD7"/>
    <w:rsid w:val="00681484"/>
    <w:rsid w:val="006D0068"/>
    <w:rsid w:val="006E388A"/>
    <w:rsid w:val="00747A84"/>
    <w:rsid w:val="008243B9"/>
    <w:rsid w:val="00826B49"/>
    <w:rsid w:val="008337B8"/>
    <w:rsid w:val="00837430"/>
    <w:rsid w:val="00865341"/>
    <w:rsid w:val="00876ADD"/>
    <w:rsid w:val="009A1188"/>
    <w:rsid w:val="009F7BAE"/>
    <w:rsid w:val="00A150E0"/>
    <w:rsid w:val="00A33A7F"/>
    <w:rsid w:val="00A44F6D"/>
    <w:rsid w:val="00A557B5"/>
    <w:rsid w:val="00AA2DF9"/>
    <w:rsid w:val="00AF63FD"/>
    <w:rsid w:val="00BA1275"/>
    <w:rsid w:val="00D941F5"/>
    <w:rsid w:val="00D9564E"/>
    <w:rsid w:val="00DA42B4"/>
    <w:rsid w:val="00DC7EC9"/>
    <w:rsid w:val="00E26635"/>
    <w:rsid w:val="00E354FC"/>
    <w:rsid w:val="00E762F6"/>
    <w:rsid w:val="00E76559"/>
    <w:rsid w:val="00EA0A33"/>
    <w:rsid w:val="00EF757F"/>
    <w:rsid w:val="00F0774D"/>
    <w:rsid w:val="00F7440C"/>
    <w:rsid w:val="00F74561"/>
    <w:rsid w:val="00FA5704"/>
    <w:rsid w:val="00FD31CB"/>
    <w:rsid w:val="0290F1CF"/>
    <w:rsid w:val="4AF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18F2"/>
  <w15:chartTrackingRefBased/>
  <w15:docId w15:val="{1BCEA7DE-EBED-4094-BD5B-8412B65A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31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31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3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3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3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3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3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3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FD31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FD31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FD31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FD31C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FD31C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FD31C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FD31C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FD31C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FD31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31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FD31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3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FD3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31C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FD31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31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31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31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D31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31C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D31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microsoft.com/office/2007/relationships/diagramDrawing" Target="diagrams/drawing1.xml" Id="rId9" 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8B1B2F-6FCD-483B-A0FE-D0EB5DB3F806}">
      <dsp:nvSpPr>
        <dsp:cNvPr id="0" name=""/>
        <dsp:cNvSpPr/>
      </dsp:nvSpPr>
      <dsp:spPr>
        <a:xfrm rot="16200000">
          <a:off x="571500" y="-5715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L'âge: la capacité à prendre des risques et à remettre en cause l'ordre établi</a:t>
          </a:r>
        </a:p>
      </dsp:txBody>
      <dsp:txXfrm rot="5400000">
        <a:off x="-1" y="1"/>
        <a:ext cx="2743200" cy="1200150"/>
      </dsp:txXfrm>
    </dsp:sp>
    <dsp:sp modelId="{5CB19A16-F7F5-4600-947E-CB798C2F1331}">
      <dsp:nvSpPr>
        <dsp:cNvPr id="0" name=""/>
        <dsp:cNvSpPr/>
      </dsp:nvSpPr>
      <dsp:spPr>
        <a:xfrm>
          <a:off x="2743200" y="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L'éducation et le milieu social: puiser dans l'expérience personnelle </a:t>
          </a:r>
        </a:p>
      </dsp:txBody>
      <dsp:txXfrm>
        <a:off x="2743200" y="0"/>
        <a:ext cx="2743200" cy="1200150"/>
      </dsp:txXfrm>
    </dsp:sp>
    <dsp:sp modelId="{CAE52C86-0A01-47FD-8CEA-668FFD0BEC09}">
      <dsp:nvSpPr>
        <dsp:cNvPr id="0" name=""/>
        <dsp:cNvSpPr/>
      </dsp:nvSpPr>
      <dsp:spPr>
        <a:xfrm rot="10800000">
          <a:off x="0" y="1600200"/>
          <a:ext cx="2743200" cy="1600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L'éthique: identifier les valeurs supérieures en jeu </a:t>
          </a:r>
        </a:p>
      </dsp:txBody>
      <dsp:txXfrm rot="10800000">
        <a:off x="0" y="2000250"/>
        <a:ext cx="2743200" cy="1200150"/>
      </dsp:txXfrm>
    </dsp:sp>
    <dsp:sp modelId="{CF184FEA-D32A-46D6-9ADE-B6F20333AEA4}">
      <dsp:nvSpPr>
        <dsp:cNvPr id="0" name=""/>
        <dsp:cNvSpPr/>
      </dsp:nvSpPr>
      <dsp:spPr>
        <a:xfrm rot="5400000">
          <a:off x="3314700" y="1028700"/>
          <a:ext cx="1600200" cy="2743200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Analyse: prendre de la distance historique</a:t>
          </a:r>
        </a:p>
      </dsp:txBody>
      <dsp:txXfrm rot="-5400000">
        <a:off x="2743200" y="2000250"/>
        <a:ext cx="2743200" cy="1200150"/>
      </dsp:txXfrm>
    </dsp:sp>
    <dsp:sp modelId="{9A6EDCE0-F620-4CC1-8765-54F49C0E5E38}">
      <dsp:nvSpPr>
        <dsp:cNvPr id="0" name=""/>
        <dsp:cNvSpPr/>
      </dsp:nvSpPr>
      <dsp:spPr>
        <a:xfrm>
          <a:off x="1920240" y="1200150"/>
          <a:ext cx="1645920" cy="800100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S'engager en juin 1940</a:t>
          </a:r>
        </a:p>
      </dsp:txBody>
      <dsp:txXfrm>
        <a:off x="1959298" y="1239208"/>
        <a:ext cx="1567804" cy="721984"/>
      </dsp:txXfrm>
    </dsp:sp>
  </dsp:spTree>
</dsp:drawing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Sebastian Jung</dc:creator>
  <keywords/>
  <dc:description/>
  <lastModifiedBy>Utilisateur</lastModifiedBy>
  <revision>52</revision>
  <dcterms:created xsi:type="dcterms:W3CDTF">2025-01-16T13:11:00.0000000Z</dcterms:created>
  <dcterms:modified xsi:type="dcterms:W3CDTF">2025-03-05T15:58:14.5430288Z</dcterms:modified>
</coreProperties>
</file>